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  <w:rPr>
          <w:rFonts w:ascii="Rockwell Extra Bold"/>
          <w:b w:val="1"/>
          <w:bCs w:val="1"/>
          <w:sz w:val="32"/>
          <w:szCs w:val="32"/>
        </w:rPr>
      </w:pPr>
    </w:p>
    <w:p>
      <w:pPr>
        <w:pStyle w:val="Body"/>
        <w:jc w:val="center"/>
        <w:rPr>
          <w:rFonts w:ascii="Rockwell Extra Bold" w:cs="Rockwell Extra Bold" w:hAnsi="Rockwell Extra Bold" w:eastAsia="Rockwell Extra Bold"/>
          <w:b w:val="1"/>
          <w:bCs w:val="1"/>
        </w:rPr>
      </w:pPr>
      <w:r>
        <w:rPr>
          <w:rFonts w:ascii="Rockwell Extra Bold"/>
          <w:b w:val="1"/>
          <w:bCs w:val="1"/>
          <w:rtl w:val="0"/>
          <w:lang w:val="en-US"/>
        </w:rPr>
        <w:t>Saturday 11th October</w:t>
      </w:r>
    </w:p>
    <w:p>
      <w:pPr>
        <w:pStyle w:val="Body"/>
        <w:jc w:val="center"/>
        <w:rPr>
          <w:rFonts w:ascii="Rockwell Extra Bold" w:cs="Rockwell Extra Bold" w:hAnsi="Rockwell Extra Bold" w:eastAsia="Rockwell Extra Bold"/>
          <w:b w:val="1"/>
          <w:bCs w:val="1"/>
        </w:rPr>
      </w:pPr>
      <w:r>
        <w:rPr>
          <w:rFonts w:ascii="Rockwell Extra Bold"/>
          <w:b w:val="1"/>
          <w:bCs w:val="1"/>
          <w:rtl w:val="0"/>
        </w:rPr>
        <w:t>14:00-16:000</w:t>
      </w:r>
    </w:p>
    <w:p>
      <w:pPr>
        <w:pStyle w:val="Body"/>
        <w:jc w:val="center"/>
        <w:rPr>
          <w:rFonts w:ascii="Rockwell Extra Bold" w:cs="Rockwell Extra Bold" w:hAnsi="Rockwell Extra Bold" w:eastAsia="Rockwell Extra Bold"/>
          <w:b w:val="1"/>
          <w:bCs w:val="1"/>
          <w:sz w:val="50"/>
          <w:szCs w:val="50"/>
        </w:rPr>
      </w:pPr>
    </w:p>
    <w:p>
      <w:pPr>
        <w:pStyle w:val="Body"/>
        <w:jc w:val="center"/>
        <w:rPr>
          <w:rFonts w:ascii="Rockwell Extra Bold" w:cs="Rockwell Extra Bold" w:hAnsi="Rockwell Extra Bold" w:eastAsia="Rockwell Extra Bold"/>
          <w:b w:val="1"/>
          <w:bCs w:val="1"/>
          <w:sz w:val="50"/>
          <w:szCs w:val="50"/>
        </w:rPr>
      </w:pPr>
      <w:r>
        <w:rPr>
          <w:rFonts w:ascii="Rockwell Extra Bold"/>
          <w:b w:val="1"/>
          <w:bCs w:val="1"/>
          <w:sz w:val="50"/>
          <w:szCs w:val="50"/>
          <w:rtl w:val="0"/>
          <w:lang w:val="en-US"/>
        </w:rPr>
        <w:t>Sale</w:t>
      </w:r>
    </w:p>
    <w:p>
      <w:pPr>
        <w:pStyle w:val="Body"/>
        <w:jc w:val="center"/>
        <w:rPr>
          <w:rFonts w:ascii="Rockwell Extra Bold" w:cs="Rockwell Extra Bold" w:hAnsi="Rockwell Extra Bold" w:eastAsia="Rockwell Extra Bold"/>
          <w:b w:val="1"/>
          <w:bCs w:val="1"/>
          <w:sz w:val="50"/>
          <w:szCs w:val="50"/>
        </w:rPr>
      </w:pPr>
      <w:r>
        <w:rPr>
          <w:rFonts w:ascii="Rockwell Extra Bold"/>
          <w:b w:val="1"/>
          <w:bCs w:val="1"/>
          <w:sz w:val="50"/>
          <w:szCs w:val="50"/>
          <w:rtl w:val="0"/>
          <w:lang w:val="en-US"/>
        </w:rPr>
        <w:t>of</w:t>
      </w:r>
    </w:p>
    <w:p>
      <w:pPr>
        <w:pStyle w:val="Body"/>
        <w:jc w:val="center"/>
        <w:rPr>
          <w:rFonts w:ascii="Rockwell Extra Bold" w:cs="Rockwell Extra Bold" w:hAnsi="Rockwell Extra Bold" w:eastAsia="Rockwell Extra Bold"/>
          <w:b w:val="1"/>
          <w:bCs w:val="1"/>
          <w:sz w:val="50"/>
          <w:szCs w:val="50"/>
        </w:rPr>
      </w:pPr>
      <w:r>
        <w:rPr>
          <w:rFonts w:ascii="Rockwell Extra Bold"/>
          <w:b w:val="1"/>
          <w:bCs w:val="1"/>
          <w:sz w:val="50"/>
          <w:szCs w:val="50"/>
          <w:rtl w:val="0"/>
          <w:lang w:val="en-US"/>
        </w:rPr>
        <w:t>nearly-new clothes</w:t>
      </w:r>
    </w:p>
    <w:p>
      <w:pPr>
        <w:pStyle w:val="Body"/>
        <w:jc w:val="center"/>
        <w:rPr>
          <w:rFonts w:ascii="Rockwell Extra Bold" w:cs="Rockwell Extra Bold" w:hAnsi="Rockwell Extra Bold" w:eastAsia="Rockwell Extra Bold"/>
          <w:b w:val="1"/>
          <w:bCs w:val="1"/>
          <w:sz w:val="38"/>
          <w:szCs w:val="38"/>
        </w:rPr>
      </w:pPr>
    </w:p>
    <w:p>
      <w:pPr>
        <w:pStyle w:val="Body"/>
        <w:jc w:val="center"/>
        <w:rPr>
          <w:rFonts w:ascii="Rockwell Extra Bold" w:cs="Rockwell Extra Bold" w:hAnsi="Rockwell Extra Bold" w:eastAsia="Rockwell Extra Bold"/>
          <w:b w:val="1"/>
          <w:bCs w:val="1"/>
          <w:sz w:val="36"/>
          <w:szCs w:val="36"/>
        </w:rPr>
      </w:pPr>
      <w:r>
        <w:rPr>
          <w:rFonts w:ascii="Rockwell Extra Bold"/>
          <w:b w:val="1"/>
          <w:bCs w:val="1"/>
          <w:sz w:val="36"/>
          <w:szCs w:val="36"/>
          <w:rtl w:val="0"/>
          <w:lang w:val="en-US"/>
        </w:rPr>
        <w:t>Good quality autumn and winter clothes,  for all ages</w:t>
      </w:r>
    </w:p>
    <w:p>
      <w:pPr>
        <w:pStyle w:val="Body"/>
        <w:jc w:val="center"/>
        <w:rPr>
          <w:rFonts w:ascii="Rockwell" w:cs="Rockwell" w:hAnsi="Rockwell" w:eastAsia="Rockwell"/>
          <w:i w:val="1"/>
          <w:iCs w:val="1"/>
          <w:sz w:val="26"/>
          <w:szCs w:val="26"/>
        </w:rPr>
      </w:pPr>
    </w:p>
    <w:p>
      <w:pPr>
        <w:pStyle w:val="Body"/>
        <w:jc w:val="center"/>
        <w:rPr>
          <w:rFonts w:ascii="Rockwell" w:cs="Rockwell" w:hAnsi="Rockwell" w:eastAsia="Rockwell"/>
          <w:i w:val="1"/>
          <w:iCs w:val="1"/>
          <w:sz w:val="26"/>
          <w:szCs w:val="26"/>
        </w:rPr>
      </w:pPr>
      <w:r>
        <w:rPr>
          <w:rFonts w:ascii="Rockwell"/>
          <w:i w:val="1"/>
          <w:iCs w:val="1"/>
          <w:sz w:val="26"/>
          <w:szCs w:val="26"/>
          <w:rtl w:val="0"/>
          <w:lang w:val="en-US"/>
        </w:rPr>
        <w:t>proceeds to Garango, Burkina Faso</w:t>
      </w:r>
    </w:p>
    <w:p>
      <w:pPr>
        <w:pStyle w:val="Body"/>
        <w:jc w:val="center"/>
        <w:rPr>
          <w:rFonts w:ascii="Rockwell" w:cs="Rockwell" w:hAnsi="Rockwell" w:eastAsia="Rockwell"/>
          <w:i w:val="1"/>
          <w:iCs w:val="1"/>
          <w:sz w:val="26"/>
          <w:szCs w:val="26"/>
        </w:rPr>
      </w:pPr>
    </w:p>
    <w:p>
      <w:pPr>
        <w:pStyle w:val="Body"/>
        <w:jc w:val="center"/>
        <w:rPr>
          <w:rFonts w:ascii="Rockwell Extra Bold" w:cs="Rockwell Extra Bold" w:hAnsi="Rockwell Extra Bold" w:eastAsia="Rockwell Extra Bold"/>
          <w:b w:val="1"/>
          <w:bCs w:val="1"/>
          <w:sz w:val="32"/>
          <w:szCs w:val="32"/>
        </w:rPr>
      </w:pPr>
      <w:r>
        <w:rPr>
          <w:rFonts w:ascii="Rockwell Extra Bold"/>
          <w:b w:val="1"/>
          <w:bCs w:val="1"/>
          <w:sz w:val="32"/>
          <w:szCs w:val="32"/>
          <w:rtl w:val="0"/>
          <w:lang w:val="en-US"/>
        </w:rPr>
        <w:t>Parish meeting room</w:t>
      </w:r>
    </w:p>
    <w:p>
      <w:pPr>
        <w:pStyle w:val="Body"/>
        <w:jc w:val="center"/>
        <w:rPr>
          <w:rFonts w:ascii="Rockwell" w:cs="Rockwell" w:hAnsi="Rockwell" w:eastAsia="Rockwell"/>
          <w:sz w:val="32"/>
          <w:szCs w:val="32"/>
        </w:rPr>
      </w:pPr>
      <w:r>
        <w:rPr>
          <w:rFonts w:ascii="Rockwell"/>
          <w:sz w:val="32"/>
          <w:szCs w:val="32"/>
          <w:rtl w:val="0"/>
          <w:lang w:val="en-US"/>
        </w:rPr>
        <w:t>former scout building</w:t>
      </w:r>
    </w:p>
    <w:p>
      <w:pPr>
        <w:pStyle w:val="Body"/>
        <w:jc w:val="center"/>
        <w:rPr>
          <w:rFonts w:ascii="Rockwell" w:cs="Rockwell" w:hAnsi="Rockwell" w:eastAsia="Rockwell"/>
          <w:sz w:val="32"/>
          <w:szCs w:val="32"/>
        </w:rPr>
      </w:pPr>
      <w:r>
        <w:rPr>
          <w:rFonts w:ascii="Rockwell"/>
          <w:sz w:val="32"/>
          <w:szCs w:val="32"/>
          <w:rtl w:val="0"/>
          <w:lang w:val="en-US"/>
        </w:rPr>
        <w:t>in the garden of St Alphonse</w:t>
      </w:r>
    </w:p>
    <w:p>
      <w:pPr>
        <w:pStyle w:val="Body"/>
        <w:jc w:val="center"/>
      </w:pPr>
      <w:r>
        <w:rPr>
          <w:rFonts w:ascii="Rockwell"/>
          <w:i w:val="1"/>
          <w:iCs w:val="1"/>
          <w:sz w:val="32"/>
          <w:szCs w:val="32"/>
          <w:rtl w:val="0"/>
          <w:lang w:val="en-US"/>
        </w:rPr>
        <w:t>entry via rue Willy Goergen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Rockwell Extra Bold">
    <w:charset w:val="00"/>
    <w:family w:val="roman"/>
    <w:pitch w:val="default"/>
  </w:font>
  <w:font w:name="Rockwell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